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b/>
          <w:color w:val="A6513E"/>
          <w:sz w:val="18"/>
        </w:rPr>
        <w:t>M1 / YOUR COPY</w:t>
      </w:r>
    </w:p>
    <w:p>
      <w:pPr>
        <w:pStyle w:val="Title"/>
      </w:pPr>
      <w:r>
        <w:t>Choose the book in front of you</w:t>
      </w:r>
    </w:p>
    <w:p>
      <w:r>
        <w:t>Replace the bracketed fields. This provisional plan may change when you draft.</w:t>
      </w:r>
    </w:p>
    <w:p>
      <w:pPr>
        <w:pStyle w:val="Heading3"/>
      </w:pPr>
      <w:r>
        <w:t>Project / date / version</w:t>
      </w:r>
    </w:p>
    <w:p>
      <w:pPr>
        <w:keepNext/>
      </w:pPr>
      <w:r>
        <w:t>Use a working name; it is not a publishing decision.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580" w:hRule="atLeast"/>
        </w:trPr>
        <w:tc>
          <w:tcPr>
            <w:tcW w:type="dxa" w:w="10080"/>
            <w:shd w:fill="F8F6F2"/>
            <w:tcBorders>
              <w:top w:val="single" w:sz="4" w:color="D8D1C6"/>
              <w:left w:val="single" w:sz="4" w:color="D8D1C6"/>
              <w:bottom w:val="single" w:sz="4" w:color="D8D1C6"/>
              <w:right w:val="single" w:sz="4" w:color="D8D1C6"/>
            </w:tcBorders>
          </w:tcPr>
          <w:p>
            <w:pPr>
              <w:spacing w:before="120" w:after="120"/>
            </w:pPr>
            <w:bookmarkStart w:id="1095" w:name="M1_identity"/>
            <w:r>
              <w:rPr>
                <w:color w:val="52625F"/>
              </w:rPr>
              <w:t>[Write here. Replace this text in Word.]</w:t>
            </w:r>
            <w:bookmarkEnd w:id="1095"/>
          </w:p>
        </w:tc>
      </w:tr>
    </w:tbl>
    <w:p>
      <w:pPr>
        <w:pStyle w:val="Heading3"/>
      </w:pPr>
      <w:r>
        <w:t>Two plausible scopes → one choice</w:t>
      </w:r>
    </w:p>
    <w:p>
      <w:pPr>
        <w:keepNext/>
      </w:pPr>
      <w:r>
        <w:t>Name two boundaries and explain why one gives this project enough focus and room.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1340" w:hRule="atLeast"/>
        </w:trPr>
        <w:tc>
          <w:tcPr>
            <w:tcW w:type="dxa" w:w="10080"/>
            <w:shd w:fill="F8F6F2"/>
            <w:tcBorders>
              <w:top w:val="single" w:sz="4" w:color="D8D1C6"/>
              <w:left w:val="single" w:sz="4" w:color="D8D1C6"/>
              <w:bottom w:val="single" w:sz="4" w:color="D8D1C6"/>
              <w:right w:val="single" w:sz="4" w:color="D8D1C6"/>
            </w:tcBorders>
          </w:tcPr>
          <w:p>
            <w:pPr>
              <w:spacing w:before="120" w:after="120"/>
            </w:pPr>
            <w:bookmarkStart w:id="874" w:name="M1_scopes"/>
            <w:r>
              <w:rPr>
                <w:color w:val="52625F"/>
              </w:rPr>
              <w:t>[Write here. Replace this text in Word.]</w:t>
            </w:r>
            <w:bookmarkEnd w:id="874"/>
          </w:p>
        </w:tc>
      </w:tr>
    </w:tbl>
    <w:p>
      <w:pPr>
        <w:pStyle w:val="Heading3"/>
      </w:pPr>
      <w:r>
        <w:t>Primary reader and live question</w:t>
      </w:r>
    </w:p>
    <w:p>
      <w:pPr>
        <w:keepNext/>
      </w:pPr>
      <w:r>
        <w:t>What does this reader need to understand? Ask a question the material might challenge.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1340" w:hRule="atLeast"/>
        </w:trPr>
        <w:tc>
          <w:tcPr>
            <w:tcW w:type="dxa" w:w="10080"/>
            <w:shd w:fill="F8F6F2"/>
            <w:tcBorders>
              <w:top w:val="single" w:sz="4" w:color="D8D1C6"/>
              <w:left w:val="single" w:sz="4" w:color="D8D1C6"/>
              <w:bottom w:val="single" w:sz="4" w:color="D8D1C6"/>
              <w:right w:val="single" w:sz="4" w:color="D8D1C6"/>
            </w:tcBorders>
          </w:tcPr>
          <w:p>
            <w:pPr>
              <w:spacing w:before="120" w:after="120"/>
            </w:pPr>
            <w:bookmarkStart w:id="1109" w:name="M1_question"/>
            <w:r>
              <w:rPr>
                <w:color w:val="52625F"/>
              </w:rPr>
              <w:t>[Write here. Replace this text in Word.]</w:t>
            </w:r>
            <w:bookmarkEnd w:id="1109"/>
          </w:p>
        </w:tc>
      </w:tr>
    </w:tbl>
    <w:p>
      <w:pPr>
        <w:pStyle w:val="Heading3"/>
      </w:pPr>
      <w:r>
        <w:t>Keep outside / keep as counterevidence</w:t>
      </w:r>
    </w:p>
    <w:p>
      <w:pPr>
        <w:keepNext/>
      </w:pPr>
      <w:r>
        <w:t>Park tempting tangents. Identify a memory or fact that complicates your preferred interpretation.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1340" w:hRule="atLeast"/>
        </w:trPr>
        <w:tc>
          <w:tcPr>
            <w:tcW w:type="dxa" w:w="10080"/>
            <w:shd w:fill="F8F6F2"/>
            <w:tcBorders>
              <w:top w:val="single" w:sz="4" w:color="D8D1C6"/>
              <w:left w:val="single" w:sz="4" w:color="D8D1C6"/>
              <w:bottom w:val="single" w:sz="4" w:color="D8D1C6"/>
              <w:right w:val="single" w:sz="4" w:color="D8D1C6"/>
            </w:tcBorders>
          </w:tcPr>
          <w:p>
            <w:pPr>
              <w:spacing w:before="120" w:after="120"/>
            </w:pPr>
            <w:bookmarkStart w:id="1089" w:name="M1_boundary"/>
            <w:r>
              <w:rPr>
                <w:color w:val="52625F"/>
              </w:rPr>
              <w:t>[Write here. Replace this text in Word.]</w:t>
            </w:r>
            <w:bookmarkEnd w:id="1089"/>
          </w:p>
        </w:tc>
      </w:tr>
    </w:tbl>
    <w:p>
      <w:r>
        <w:br w:type="page"/>
      </w:r>
    </w:p>
    <w:p>
      <w:pPr>
        <w:spacing w:after="100"/>
      </w:pPr>
      <w:r>
        <w:rPr>
          <w:b/>
          <w:color w:val="A6513E"/>
          <w:sz w:val="18"/>
        </w:rPr>
        <w:t>M1 / YOUR MATERIAL</w:t>
      </w:r>
    </w:p>
    <w:p>
      <w:pPr>
        <w:pStyle w:val="Heading1"/>
      </w:pPr>
      <w:r>
        <w:t>Link the material to a job</w:t>
      </w:r>
    </w:p>
    <w:p>
      <w:r>
        <w:t>Duplicate this page for a new batch. A date you do not know stays uncertain; do not invent precision.</w:t>
      </w:r>
    </w:p>
    <w:p>
      <w:pPr>
        <w:pStyle w:val="Heading3"/>
      </w:pPr>
      <w:r>
        <w:t>Material 1: ID, event, source and date basis</w:t>
      </w:r>
    </w:p>
    <w:p>
      <w:pPr>
        <w:keepNext/>
      </w:pPr>
      <w:r>
        <w:t>Separate remembered action, document, someone else’s version and inference. Include how you can find the source again.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1340" w:hRule="atLeast"/>
        </w:trPr>
        <w:tc>
          <w:tcPr>
            <w:tcW w:type="dxa" w:w="10080"/>
            <w:shd w:fill="F8F6F2"/>
            <w:tcBorders>
              <w:top w:val="single" w:sz="4" w:color="D8D1C6"/>
              <w:left w:val="single" w:sz="4" w:color="D8D1C6"/>
              <w:bottom w:val="single" w:sz="4" w:color="D8D1C6"/>
              <w:right w:val="single" w:sz="4" w:color="D8D1C6"/>
            </w:tcBorders>
          </w:tcPr>
          <w:p>
            <w:pPr>
              <w:spacing w:before="120" w:after="120"/>
            </w:pPr>
            <w:bookmarkStart w:id="1117" w:name="M1_material1"/>
            <w:r>
              <w:rPr>
                <w:color w:val="52625F"/>
              </w:rPr>
              <w:t>[Write here. Replace this text in Word.]</w:t>
            </w:r>
            <w:bookmarkEnd w:id="1117"/>
          </w:p>
        </w:tc>
      </w:tr>
    </w:tbl>
    <w:p>
      <w:pPr>
        <w:pStyle w:val="Heading3"/>
      </w:pPr>
      <w:r>
        <w:t>Material 1: uncertainty and narrative use</w:t>
      </w:r>
    </w:p>
    <w:p>
      <w:pPr>
        <w:keepNext/>
      </w:pPr>
      <w:r>
        <w:t>What can this support? What can it not establish? What decision would one more check change?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960" w:hRule="atLeast"/>
        </w:trPr>
        <w:tc>
          <w:tcPr>
            <w:tcW w:type="dxa" w:w="10080"/>
            <w:shd w:fill="F8F6F2"/>
            <w:tcBorders>
              <w:top w:val="single" w:sz="4" w:color="D8D1C6"/>
              <w:left w:val="single" w:sz="4" w:color="D8D1C6"/>
              <w:bottom w:val="single" w:sz="4" w:color="D8D1C6"/>
              <w:right w:val="single" w:sz="4" w:color="D8D1C6"/>
            </w:tcBorders>
          </w:tcPr>
          <w:p>
            <w:pPr>
              <w:spacing w:before="120" w:after="120"/>
            </w:pPr>
            <w:bookmarkStart w:id="603" w:name="M1_use1"/>
            <w:r>
              <w:rPr>
                <w:color w:val="52625F"/>
              </w:rPr>
              <w:t>[Write here. Replace this text in Word.]</w:t>
            </w:r>
            <w:bookmarkEnd w:id="603"/>
          </w:p>
        </w:tc>
      </w:tr>
    </w:tbl>
    <w:p>
      <w:pPr>
        <w:pStyle w:val="Heading3"/>
      </w:pPr>
      <w:r>
        <w:t>Material 2: ID, event, source and date basis</w:t>
      </w:r>
    </w:p>
    <w:p>
      <w:pPr>
        <w:keepNext/>
      </w:pPr>
      <w:r>
        <w:t>Separate remembered action, document, someone else’s version and inference. Include how you can find the source again.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1340" w:hRule="atLeast"/>
        </w:trPr>
        <w:tc>
          <w:tcPr>
            <w:tcW w:type="dxa" w:w="10080"/>
            <w:shd w:fill="F8F6F2"/>
            <w:tcBorders>
              <w:top w:val="single" w:sz="4" w:color="D8D1C6"/>
              <w:left w:val="single" w:sz="4" w:color="D8D1C6"/>
              <w:bottom w:val="single" w:sz="4" w:color="D8D1C6"/>
              <w:right w:val="single" w:sz="4" w:color="D8D1C6"/>
            </w:tcBorders>
          </w:tcPr>
          <w:p>
            <w:pPr>
              <w:spacing w:before="120" w:after="120"/>
            </w:pPr>
            <w:bookmarkStart w:id="1118" w:name="M1_material2"/>
            <w:r>
              <w:rPr>
                <w:color w:val="52625F"/>
              </w:rPr>
              <w:t>[Write here. Replace this text in Word.]</w:t>
            </w:r>
            <w:bookmarkEnd w:id="1118"/>
          </w:p>
        </w:tc>
      </w:tr>
    </w:tbl>
    <w:p>
      <w:pPr>
        <w:pStyle w:val="Heading3"/>
      </w:pPr>
      <w:r>
        <w:t>Material 2: uncertainty and narrative use</w:t>
      </w:r>
    </w:p>
    <w:p>
      <w:pPr>
        <w:keepNext/>
      </w:pPr>
      <w:r>
        <w:t>What can this support? What can it not establish? What decision would one more check change?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960" w:hRule="atLeast"/>
        </w:trPr>
        <w:tc>
          <w:tcPr>
            <w:tcW w:type="dxa" w:w="10080"/>
            <w:shd w:fill="F8F6F2"/>
            <w:tcBorders>
              <w:top w:val="single" w:sz="4" w:color="D8D1C6"/>
              <w:left w:val="single" w:sz="4" w:color="D8D1C6"/>
              <w:bottom w:val="single" w:sz="4" w:color="D8D1C6"/>
              <w:right w:val="single" w:sz="4" w:color="D8D1C6"/>
            </w:tcBorders>
          </w:tcPr>
          <w:p>
            <w:pPr>
              <w:spacing w:before="120" w:after="120"/>
            </w:pPr>
            <w:bookmarkStart w:id="604" w:name="M1_use2"/>
            <w:r>
              <w:rPr>
                <w:color w:val="52625F"/>
              </w:rPr>
              <w:t>[Write here. Replace this text in Word.]</w:t>
            </w:r>
            <w:bookmarkEnd w:id="604"/>
          </w:p>
        </w:tc>
      </w:tr>
    </w:tbl>
    <w:p>
      <w:r>
        <w:br w:type="page"/>
      </w:r>
    </w:p>
    <w:p>
      <w:pPr>
        <w:spacing w:after="100"/>
      </w:pPr>
      <w:r>
        <w:rPr>
          <w:b/>
          <w:color w:val="A6513E"/>
          <w:sz w:val="18"/>
        </w:rPr>
        <w:t>M1 / YOUR SHAPE</w:t>
      </w:r>
    </w:p>
    <w:p>
      <w:pPr>
        <w:pStyle w:val="Heading1"/>
      </w:pPr>
      <w:r>
        <w:t>Reading order, not a life timeline</w:t>
      </w:r>
    </w:p>
    <w:p>
      <w:r>
        <w:t>Use one row per movement or chapter. Add rows freely; the table expands in Word.</w:t>
      </w:r>
    </w:p>
    <w:tbl>
      <w:tblPr>
        <w:tblW w:type="dxa" w:w="10080"/>
        <w:tblLayout w:type="fixed"/>
        <w:tblLook w:firstColumn="1" w:firstRow="1" w:lastColumn="0" w:lastRow="0" w:noHBand="0" w:noVBand="1" w:val="04A0"/>
      </w:tblPr>
      <w:tblGrid>
        <w:gridCol w:w="2160"/>
        <w:gridCol w:w="4032"/>
        <w:gridCol w:w="3888"/>
      </w:tblGrid>
      <w:tr>
        <w:trPr>
          <w:tblHeader/>
        </w:trPr>
        <w:tc>
          <w:tcPr>
            <w:tcW w:type="dxa" w:w="2160"/>
            <w:shd w:fill="382D3B"/>
          </w:tcPr>
          <w:p>
            <w:r>
              <w:rPr>
                <w:b/>
                <w:color w:val="FFFFFF"/>
                <w:sz w:val="20"/>
              </w:rPr>
              <w:t>Order / working label</w:t>
            </w:r>
          </w:p>
        </w:tc>
        <w:tc>
          <w:tcPr>
            <w:tcW w:type="dxa" w:w="4032"/>
            <w:shd w:fill="382D3B"/>
          </w:tcPr>
          <w:p>
            <w:r>
              <w:rPr>
                <w:b/>
                <w:color w:val="FFFFFF"/>
                <w:sz w:val="20"/>
              </w:rPr>
              <w:t>Reader knows before → learns after</w:t>
            </w:r>
          </w:p>
        </w:tc>
        <w:tc>
          <w:tcPr>
            <w:tcW w:type="dxa" w:w="3888"/>
            <w:shd w:fill="382D3B"/>
          </w:tcPr>
          <w:p>
            <w:r>
              <w:rPr>
                <w:b/>
                <w:color w:val="FFFFFF"/>
                <w:sz w:val="20"/>
              </w:rPr>
              <w:t>Material IDs / what must come first</w:t>
            </w:r>
          </w:p>
        </w:tc>
      </w:tr>
      <w:tr>
        <w:trPr>
          <w:cantSplit/>
        </w:trPr>
        <w:tc>
          <w:tcPr>
            <w:tcW w:type="dxa" w:w="2160"/>
            <w:shd w:fill="F7F5F1"/>
          </w:tcPr>
          <w:p>
            <w:pPr>
              <w:spacing w:after="100" w:before="80"/>
            </w:pPr>
            <w:r>
              <w:rPr>
                <w:sz w:val="21"/>
              </w:rPr>
              <w:t>[1]</w:t>
            </w:r>
          </w:p>
        </w:tc>
        <w:tc>
          <w:tcPr>
            <w:tcW w:type="dxa" w:w="4032"/>
            <w:shd w:fill="F7F5F1"/>
          </w:tcPr>
          <w:p>
            <w:pPr>
              <w:spacing w:after="100" w:before="80"/>
            </w:pPr>
            <w:r>
              <w:rPr>
                <w:sz w:val="21"/>
              </w:rPr>
              <w:t>[Change for the reader]</w:t>
            </w:r>
          </w:p>
        </w:tc>
        <w:tc>
          <w:tcPr>
            <w:tcW w:type="dxa" w:w="3888"/>
            <w:shd w:fill="F7F5F1"/>
          </w:tcPr>
          <w:p>
            <w:pPr>
              <w:spacing w:after="100" w:before="80"/>
            </w:pPr>
            <w:r>
              <w:rPr>
                <w:sz w:val="21"/>
              </w:rPr>
              <w:t>[Source / dependency]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100" w:before="80"/>
            </w:pPr>
            <w:r>
              <w:rPr>
                <w:sz w:val="21"/>
              </w:rPr>
              <w:t>[2]</w:t>
            </w:r>
          </w:p>
        </w:tc>
        <w:tc>
          <w:tcPr>
            <w:tcW w:type="dxa" w:w="4032"/>
          </w:tcPr>
          <w:p>
            <w:pPr>
              <w:spacing w:after="100" w:before="80"/>
            </w:pPr>
            <w:r>
              <w:rPr>
                <w:sz w:val="21"/>
              </w:rPr>
              <w:t>[Change for the reader]</w:t>
            </w:r>
          </w:p>
        </w:tc>
        <w:tc>
          <w:tcPr>
            <w:tcW w:type="dxa" w:w="3888"/>
          </w:tcPr>
          <w:p>
            <w:pPr>
              <w:spacing w:after="100" w:before="80"/>
            </w:pPr>
            <w:r>
              <w:rPr>
                <w:sz w:val="21"/>
              </w:rPr>
              <w:t>[Source / dependency]</w:t>
            </w:r>
          </w:p>
        </w:tc>
      </w:tr>
      <w:tr>
        <w:trPr>
          <w:cantSplit/>
        </w:trPr>
        <w:tc>
          <w:tcPr>
            <w:tcW w:type="dxa" w:w="2160"/>
            <w:shd w:fill="F7F5F1"/>
          </w:tcPr>
          <w:p>
            <w:pPr>
              <w:spacing w:after="100" w:before="80"/>
            </w:pPr>
            <w:r>
              <w:rPr>
                <w:sz w:val="21"/>
              </w:rPr>
              <w:t>[3]</w:t>
            </w:r>
          </w:p>
        </w:tc>
        <w:tc>
          <w:tcPr>
            <w:tcW w:type="dxa" w:w="4032"/>
            <w:shd w:fill="F7F5F1"/>
          </w:tcPr>
          <w:p>
            <w:pPr>
              <w:spacing w:after="100" w:before="80"/>
            </w:pPr>
            <w:r>
              <w:rPr>
                <w:sz w:val="21"/>
              </w:rPr>
              <w:t>[Change for the reader]</w:t>
            </w:r>
          </w:p>
        </w:tc>
        <w:tc>
          <w:tcPr>
            <w:tcW w:type="dxa" w:w="3888"/>
            <w:shd w:fill="F7F5F1"/>
          </w:tcPr>
          <w:p>
            <w:pPr>
              <w:spacing w:after="100" w:before="80"/>
            </w:pPr>
            <w:r>
              <w:rPr>
                <w:sz w:val="21"/>
              </w:rPr>
              <w:t>[Source / dependency]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100" w:before="80"/>
            </w:pPr>
            <w:r>
              <w:rPr>
                <w:sz w:val="21"/>
              </w:rPr>
              <w:t>[4]</w:t>
            </w:r>
          </w:p>
        </w:tc>
        <w:tc>
          <w:tcPr>
            <w:tcW w:type="dxa" w:w="4032"/>
          </w:tcPr>
          <w:p>
            <w:pPr>
              <w:spacing w:after="100" w:before="80"/>
            </w:pPr>
            <w:r>
              <w:rPr>
                <w:sz w:val="21"/>
              </w:rPr>
              <w:t>[Change for the reader]</w:t>
            </w:r>
          </w:p>
        </w:tc>
        <w:tc>
          <w:tcPr>
            <w:tcW w:type="dxa" w:w="3888"/>
          </w:tcPr>
          <w:p>
            <w:pPr>
              <w:spacing w:after="100" w:before="80"/>
            </w:pPr>
            <w:r>
              <w:rPr>
                <w:sz w:val="21"/>
              </w:rPr>
              <w:t>[Source / dependency]</w:t>
            </w:r>
          </w:p>
        </w:tc>
      </w:tr>
      <w:tr>
        <w:trPr>
          <w:cantSplit/>
        </w:trPr>
        <w:tc>
          <w:tcPr>
            <w:tcW w:type="dxa" w:w="2160"/>
            <w:shd w:fill="F7F5F1"/>
          </w:tcPr>
          <w:p>
            <w:pPr>
              <w:spacing w:after="100" w:before="80"/>
            </w:pPr>
            <w:r>
              <w:rPr>
                <w:sz w:val="21"/>
              </w:rPr>
              <w:t>[5]</w:t>
            </w:r>
          </w:p>
        </w:tc>
        <w:tc>
          <w:tcPr>
            <w:tcW w:type="dxa" w:w="4032"/>
            <w:shd w:fill="F7F5F1"/>
          </w:tcPr>
          <w:p>
            <w:pPr>
              <w:spacing w:after="100" w:before="80"/>
            </w:pPr>
            <w:r>
              <w:rPr>
                <w:sz w:val="21"/>
              </w:rPr>
              <w:t>[Change for the reader]</w:t>
            </w:r>
          </w:p>
        </w:tc>
        <w:tc>
          <w:tcPr>
            <w:tcW w:type="dxa" w:w="3888"/>
            <w:shd w:fill="F7F5F1"/>
          </w:tcPr>
          <w:p>
            <w:pPr>
              <w:spacing w:after="100" w:before="80"/>
            </w:pPr>
            <w:r>
              <w:rPr>
                <w:sz w:val="21"/>
              </w:rPr>
              <w:t>[Source / dependency]</w:t>
            </w:r>
          </w:p>
        </w:tc>
      </w:tr>
    </w:tbl>
    <w:p>
      <w:pPr>
        <w:spacing w:after="0"/>
      </w:pPr>
    </w:p>
    <w:p>
      <w:pPr>
        <w:pStyle w:val="Heading3"/>
      </w:pPr>
      <w:r>
        <w:t>Remove-one test</w:t>
      </w:r>
    </w:p>
    <w:p>
      <w:pPr>
        <w:keepNext/>
      </w:pPr>
      <w:r>
        <w:t>Temporarily remove a movement. What understanding disappears? Where is the same job being done twice?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1720" w:hRule="atLeast"/>
        </w:trPr>
        <w:tc>
          <w:tcPr>
            <w:tcW w:type="dxa" w:w="10080"/>
            <w:shd w:fill="F8F6F2"/>
            <w:tcBorders>
              <w:top w:val="single" w:sz="4" w:color="D8D1C6"/>
              <w:left w:val="single" w:sz="4" w:color="D8D1C6"/>
              <w:bottom w:val="single" w:sz="4" w:color="D8D1C6"/>
              <w:right w:val="single" w:sz="4" w:color="D8D1C6"/>
            </w:tcBorders>
          </w:tcPr>
          <w:p>
            <w:pPr>
              <w:spacing w:before="120" w:after="120"/>
            </w:pPr>
            <w:bookmarkStart w:id="979" w:name="M1_removal"/>
            <w:r>
              <w:rPr>
                <w:color w:val="52625F"/>
              </w:rPr>
              <w:t>[Write here. Replace this text in Word.]</w:t>
            </w:r>
            <w:bookmarkEnd w:id="979"/>
          </w:p>
        </w:tc>
      </w:tr>
    </w:tbl>
    <w:p>
      <w:pPr>
        <w:pStyle w:val="Heading3"/>
      </w:pPr>
      <w:r>
        <w:t>Chronology that must remain clear</w:t>
      </w:r>
    </w:p>
    <w:p>
      <w:pPr>
        <w:keepNext/>
      </w:pPr>
      <w:r>
        <w:t>Record only the dates or sequence needed to keep the reading order intelligible.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1340" w:hRule="atLeast"/>
        </w:trPr>
        <w:tc>
          <w:tcPr>
            <w:tcW w:type="dxa" w:w="10080"/>
            <w:shd w:fill="F8F6F2"/>
            <w:tcBorders>
              <w:top w:val="single" w:sz="4" w:color="D8D1C6"/>
              <w:left w:val="single" w:sz="4" w:color="D8D1C6"/>
              <w:bottom w:val="single" w:sz="4" w:color="D8D1C6"/>
              <w:right w:val="single" w:sz="4" w:color="D8D1C6"/>
            </w:tcBorders>
          </w:tcPr>
          <w:p>
            <w:pPr>
              <w:spacing w:before="120" w:after="120"/>
            </w:pPr>
            <w:bookmarkStart w:id="1313" w:name="M1_chronology"/>
            <w:r>
              <w:rPr>
                <w:color w:val="52625F"/>
              </w:rPr>
              <w:t>[Write here. Replace this text in Word.]</w:t>
            </w:r>
            <w:bookmarkEnd w:id="1313"/>
          </w:p>
        </w:tc>
      </w:tr>
    </w:tbl>
    <w:p>
      <w:r>
        <w:br w:type="page"/>
      </w:r>
    </w:p>
    <w:p>
      <w:pPr>
        <w:spacing w:after="100"/>
      </w:pPr>
      <w:r>
        <w:rPr>
          <w:b/>
          <w:color w:val="A6513E"/>
          <w:sz w:val="18"/>
        </w:rPr>
        <w:t>M1 / BEGIN</w:t>
      </w:r>
    </w:p>
    <w:p>
      <w:pPr>
        <w:pStyle w:val="Heading1"/>
      </w:pPr>
      <w:r>
        <w:t>Make the next session small enough to do</w:t>
      </w:r>
    </w:p>
    <w:p>
      <w:pPr>
        <w:pStyle w:val="Heading3"/>
      </w:pPr>
      <w:r>
        <w:t>The first scene and its available material</w:t>
      </w:r>
    </w:p>
    <w:p>
      <w:pPr>
        <w:keepNext/>
      </w:pPr>
      <w:r>
        <w:t>Specify an action you can draft now. Identify the material IDs and any uncertain words to keep indirect or marked.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1720" w:hRule="atLeast"/>
        </w:trPr>
        <w:tc>
          <w:tcPr>
            <w:tcW w:type="dxa" w:w="10080"/>
            <w:shd w:fill="F8F6F2"/>
            <w:tcBorders>
              <w:top w:val="single" w:sz="4" w:color="D8D1C6"/>
              <w:left w:val="single" w:sz="4" w:color="D8D1C6"/>
              <w:bottom w:val="single" w:sz="4" w:color="D8D1C6"/>
              <w:right w:val="single" w:sz="4" w:color="D8D1C6"/>
            </w:tcBorders>
          </w:tcPr>
          <w:p>
            <w:pPr>
              <w:spacing w:before="120" w:after="120"/>
            </w:pPr>
            <w:bookmarkStart w:id="1299" w:name="M1_firstscene"/>
            <w:r>
              <w:rPr>
                <w:color w:val="52625F"/>
              </w:rPr>
              <w:t>[Write here. Replace this text in Word.]</w:t>
            </w:r>
            <w:bookmarkEnd w:id="1299"/>
          </w:p>
        </w:tc>
      </w:tr>
    </w:tbl>
    <w:p>
      <w:pPr>
        <w:pStyle w:val="Heading3"/>
      </w:pPr>
      <w:r>
        <w:t>Next two sessions</w:t>
      </w:r>
    </w:p>
    <w:p>
      <w:pPr>
        <w:keepNext/>
      </w:pPr>
      <w:r>
        <w:t>Give each session a place/time, a specific page task and a realistic stopping point. Word count alone is not completion.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1720" w:hRule="atLeast"/>
        </w:trPr>
        <w:tc>
          <w:tcPr>
            <w:tcW w:type="dxa" w:w="10080"/>
            <w:shd w:fill="F8F6F2"/>
            <w:tcBorders>
              <w:top w:val="single" w:sz="4" w:color="D8D1C6"/>
              <w:left w:val="single" w:sz="4" w:color="D8D1C6"/>
              <w:bottom w:val="single" w:sz="4" w:color="D8D1C6"/>
              <w:right w:val="single" w:sz="4" w:color="D8D1C6"/>
            </w:tcBorders>
          </w:tcPr>
          <w:p>
            <w:pPr>
              <w:spacing w:before="120" w:after="120"/>
            </w:pPr>
            <w:bookmarkStart w:id="1108" w:name="M1_sessions"/>
            <w:r>
              <w:rPr>
                <w:color w:val="52625F"/>
              </w:rPr>
              <w:t>[Write here. Replace this text in Word.]</w:t>
            </w:r>
            <w:bookmarkEnd w:id="1108"/>
          </w:p>
        </w:tc>
      </w:tr>
    </w:tbl>
    <w:p>
      <w:pPr>
        <w:pStyle w:val="Heading3"/>
      </w:pPr>
      <w:r>
        <w:t>Re-entry note</w:t>
      </w:r>
    </w:p>
    <w:p>
      <w:pPr>
        <w:keepNext/>
      </w:pPr>
      <w:r>
        <w:t>Leave the next action, the open question and the exact file/version to resume.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1340" w:hRule="atLeast"/>
        </w:trPr>
        <w:tc>
          <w:tcPr>
            <w:tcW w:type="dxa" w:w="10080"/>
            <w:shd w:fill="F8F6F2"/>
            <w:tcBorders>
              <w:top w:val="single" w:sz="4" w:color="D8D1C6"/>
              <w:left w:val="single" w:sz="4" w:color="D8D1C6"/>
              <w:bottom w:val="single" w:sz="4" w:color="D8D1C6"/>
              <w:right w:val="single" w:sz="4" w:color="D8D1C6"/>
            </w:tcBorders>
          </w:tcPr>
          <w:p>
            <w:pPr>
              <w:spacing w:before="120" w:after="120"/>
            </w:pPr>
            <w:bookmarkStart w:id="998" w:name="M1_reentry"/>
            <w:r>
              <w:rPr>
                <w:color w:val="52625F"/>
              </w:rPr>
              <w:t>[Write here. Replace this text in Word.]</w:t>
            </w:r>
            <w:bookmarkEnd w:id="998"/>
          </w:p>
        </w:tc>
      </w:tr>
    </w:tbl>
    <w:p>
      <w:pPr>
        <w:keepNext/>
        <w:spacing w:before="0" w:after="40" w:line="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3F1ED"/>
          </w:tcPr>
          <w:p>
            <w:r>
              <w:rPr>
                <w:b/>
                <w:color w:val="A6513E"/>
              </w:rPr>
              <w:t>RETURN TO THE BOOK</w:t>
              <w:br/>
            </w:r>
            <w:r>
              <w:t>Chapters 1–2: focus and sources. Chapter 5: book shape. Chapter 6: finishing a draft. If the plan is preventing writing rather than enabling it, choose one scene and begin.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60"/>
    </w:pPr>
    <w:r>
      <w:rPr>
        <w:color w:val="52625F"/>
        <w:sz w:val="16"/>
      </w:rPr>
      <w:t xml:space="preserve">Reader companion  ·  v1.1  ·  Private review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rFonts w:ascii="Arial" w:hAnsi="Arial"/>
        <w:color w:val="52625F"/>
        <w:sz w:val="16"/>
      </w:rPr>
      <w:t>GROUNDWELL PRESS  /  M1  /  YOUR EDITABLE COPY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23302E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="Georgia" w:hAnsi="Georgia"/>
      <w:b/>
      <w:bCs/>
      <w:color w:val="382D3B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="Arial" w:hAnsi="Arial"/>
      <w:b/>
      <w:bCs/>
      <w:color w:val="382D3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="Arial" w:hAnsi="Arial"/>
      <w:b/>
      <w:bCs/>
      <w:color w:val="A6513E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0"/>
      <w:contextualSpacing/>
    </w:pPr>
    <w:rPr>
      <w:rFonts w:ascii="Georgia" w:hAnsi="Georgia"/>
      <w:b w:val="0"/>
      <w:color w:val="382D3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Memoir Book Blueprint — Your Copy</dc:title>
  <dc:subject>Companion application resource; manuscript teaching remains in the book</dc:subject>
  <dc:creator>Groundwell Press</dc:creator>
  <cp:keywords>M1;Memoir;reader companion;v1.0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